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4662" w:rsidRPr="004C29E9" w:rsidRDefault="008A4662" w:rsidP="00A01EFC">
      <w:pPr>
        <w:pStyle w:val="ConsPlusNonformat"/>
        <w:widowControl w:val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29E9">
        <w:rPr>
          <w:rFonts w:ascii="Times New Roman" w:hAnsi="Times New Roman" w:cs="Times New Roman"/>
          <w:sz w:val="28"/>
          <w:szCs w:val="28"/>
        </w:rPr>
        <w:t>УТВЕРЖД</w:t>
      </w:r>
      <w:r w:rsidR="00CE0F23" w:rsidRPr="004C29E9">
        <w:rPr>
          <w:rFonts w:ascii="Times New Roman" w:hAnsi="Times New Roman" w:cs="Times New Roman"/>
          <w:sz w:val="28"/>
          <w:szCs w:val="28"/>
        </w:rPr>
        <w:t>ЕНО</w:t>
      </w:r>
    </w:p>
    <w:p w:rsidR="00CE0F23" w:rsidRPr="004C29E9" w:rsidRDefault="00CE0F23" w:rsidP="00A01EFC">
      <w:pPr>
        <w:pStyle w:val="ConsPlusNonformat"/>
        <w:widowControl w:val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 xml:space="preserve">протоколом заседания общественного совета при министерстве экономического развития и инвестиций Нижегородской области от </w:t>
      </w:r>
      <w:r w:rsidR="00B2021B">
        <w:rPr>
          <w:rFonts w:ascii="Times New Roman" w:hAnsi="Times New Roman" w:cs="Times New Roman"/>
          <w:sz w:val="28"/>
          <w:szCs w:val="28"/>
        </w:rPr>
        <w:t>11</w:t>
      </w:r>
      <w:r w:rsidR="00CB7E0A">
        <w:rPr>
          <w:rFonts w:ascii="Times New Roman" w:hAnsi="Times New Roman" w:cs="Times New Roman"/>
          <w:sz w:val="28"/>
          <w:szCs w:val="28"/>
        </w:rPr>
        <w:t>.02.202</w:t>
      </w:r>
      <w:r w:rsidR="00FD5528">
        <w:rPr>
          <w:rFonts w:ascii="Times New Roman" w:hAnsi="Times New Roman" w:cs="Times New Roman"/>
          <w:sz w:val="28"/>
          <w:szCs w:val="28"/>
        </w:rPr>
        <w:t>5</w:t>
      </w:r>
    </w:p>
    <w:p w:rsidR="008A4662" w:rsidRDefault="008A4662" w:rsidP="006E68BC">
      <w:pPr>
        <w:pStyle w:val="ConsPlusNonformat"/>
        <w:spacing w:line="33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1EFC" w:rsidRDefault="00A01EFC" w:rsidP="006E68BC">
      <w:pPr>
        <w:pStyle w:val="ConsPlusNonformat"/>
        <w:spacing w:line="33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1EFC" w:rsidRPr="00A01EFC" w:rsidRDefault="00A01EFC" w:rsidP="006E68BC">
      <w:pPr>
        <w:pStyle w:val="ConsPlusNonformat"/>
        <w:spacing w:line="33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0F23" w:rsidRPr="004C29E9" w:rsidRDefault="00CE0F23" w:rsidP="00A01EFC">
      <w:pPr>
        <w:pStyle w:val="ConsPlusNonformat"/>
        <w:widowControl w:val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29E9">
        <w:rPr>
          <w:rFonts w:ascii="Times New Roman" w:hAnsi="Times New Roman" w:cs="Times New Roman"/>
          <w:b/>
          <w:sz w:val="28"/>
          <w:szCs w:val="24"/>
        </w:rPr>
        <w:t>ДОКЛАД</w:t>
      </w:r>
    </w:p>
    <w:p w:rsidR="00F07E2F" w:rsidRPr="004C29E9" w:rsidRDefault="00CE0F23" w:rsidP="00A01EFC">
      <w:pPr>
        <w:pStyle w:val="ConsPlusNonformat"/>
        <w:widowControl w:val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29E9">
        <w:rPr>
          <w:rFonts w:ascii="Times New Roman" w:hAnsi="Times New Roman" w:cs="Times New Roman"/>
          <w:b/>
          <w:sz w:val="28"/>
          <w:szCs w:val="24"/>
        </w:rPr>
        <w:t>об антимонопольном комплаенсе</w:t>
      </w:r>
      <w:r w:rsidR="00EF40A3" w:rsidRPr="004C29E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C29E9">
        <w:rPr>
          <w:rFonts w:ascii="Times New Roman" w:hAnsi="Times New Roman" w:cs="Times New Roman"/>
          <w:b/>
          <w:sz w:val="28"/>
          <w:szCs w:val="24"/>
        </w:rPr>
        <w:t>министерства экономического развития и инвестиций Нижегородской области за 20</w:t>
      </w:r>
      <w:r w:rsidR="0012609E">
        <w:rPr>
          <w:rFonts w:ascii="Times New Roman" w:hAnsi="Times New Roman" w:cs="Times New Roman"/>
          <w:b/>
          <w:sz w:val="28"/>
          <w:szCs w:val="24"/>
        </w:rPr>
        <w:t>2</w:t>
      </w:r>
      <w:r w:rsidR="00B2021B">
        <w:rPr>
          <w:rFonts w:ascii="Times New Roman" w:hAnsi="Times New Roman" w:cs="Times New Roman"/>
          <w:b/>
          <w:sz w:val="28"/>
          <w:szCs w:val="24"/>
        </w:rPr>
        <w:t>5</w:t>
      </w:r>
      <w:r w:rsidRPr="004C29E9">
        <w:rPr>
          <w:rFonts w:ascii="Times New Roman" w:hAnsi="Times New Roman" w:cs="Times New Roman"/>
          <w:b/>
          <w:sz w:val="28"/>
          <w:szCs w:val="24"/>
        </w:rPr>
        <w:t xml:space="preserve"> год</w:t>
      </w:r>
      <w:r w:rsidR="000C69CC" w:rsidRPr="004C29E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E0F23" w:rsidRPr="004C29E9" w:rsidRDefault="000C69CC" w:rsidP="00A01EFC">
      <w:pPr>
        <w:pStyle w:val="ConsPlusNonformat"/>
        <w:widowControl w:val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29E9">
        <w:rPr>
          <w:rFonts w:ascii="Times New Roman" w:hAnsi="Times New Roman" w:cs="Times New Roman"/>
          <w:sz w:val="28"/>
          <w:szCs w:val="24"/>
        </w:rPr>
        <w:t>(далее – Доклад)</w:t>
      </w:r>
    </w:p>
    <w:p w:rsidR="00AD2044" w:rsidRPr="004C29E9" w:rsidRDefault="00AD2044" w:rsidP="00A01EFC">
      <w:pPr>
        <w:widowControl w:val="0"/>
        <w:contextualSpacing/>
        <w:jc w:val="both"/>
        <w:rPr>
          <w:i/>
        </w:rPr>
      </w:pPr>
    </w:p>
    <w:p w:rsidR="00CE0F23" w:rsidRPr="004C29E9" w:rsidRDefault="00CE0F23" w:rsidP="00A01EFC">
      <w:pPr>
        <w:widowControl w:val="0"/>
        <w:ind w:firstLine="709"/>
        <w:contextualSpacing/>
        <w:jc w:val="center"/>
        <w:rPr>
          <w:b/>
        </w:rPr>
      </w:pPr>
      <w:r w:rsidRPr="004C29E9">
        <w:rPr>
          <w:b/>
        </w:rPr>
        <w:t xml:space="preserve">I. </w:t>
      </w:r>
      <w:r w:rsidR="00ED0AFA" w:rsidRPr="004C29E9">
        <w:rPr>
          <w:b/>
        </w:rPr>
        <w:t>Общие сведения о функционировании антимонопольного комплаенса в</w:t>
      </w:r>
      <w:r w:rsidR="00ED0AFA" w:rsidRPr="004C29E9">
        <w:t xml:space="preserve"> </w:t>
      </w:r>
      <w:r w:rsidR="00ED0AFA" w:rsidRPr="004C29E9">
        <w:rPr>
          <w:b/>
        </w:rPr>
        <w:t>министерстве экономического развития и инвестиций Нижегородской области</w:t>
      </w:r>
    </w:p>
    <w:p w:rsidR="00CE0F23" w:rsidRPr="004C29E9" w:rsidRDefault="00CE0F23" w:rsidP="00A01EFC">
      <w:pPr>
        <w:widowControl w:val="0"/>
        <w:ind w:firstLine="709"/>
        <w:contextualSpacing/>
        <w:jc w:val="both"/>
      </w:pPr>
      <w:r w:rsidRPr="004C29E9">
        <w:t>Указом Президента Р</w:t>
      </w:r>
      <w:r w:rsidR="007738E3">
        <w:t xml:space="preserve">оссийской </w:t>
      </w:r>
      <w:r w:rsidRPr="004C29E9">
        <w:t>Ф</w:t>
      </w:r>
      <w:r w:rsidR="007738E3">
        <w:t>едерации</w:t>
      </w:r>
      <w:r w:rsidRPr="004C29E9">
        <w:t xml:space="preserve"> от 21 декабря 2017</w:t>
      </w:r>
      <w:r w:rsidR="00FD5528">
        <w:t> </w:t>
      </w:r>
      <w:r w:rsidRPr="004C29E9">
        <w:t>г. №</w:t>
      </w:r>
      <w:r w:rsidR="00FD5528">
        <w:t> </w:t>
      </w:r>
      <w:r w:rsidRPr="004C29E9">
        <w:t xml:space="preserve">618 </w:t>
      </w:r>
      <w:r w:rsidR="007738E3">
        <w:t xml:space="preserve">                 </w:t>
      </w:r>
      <w:r w:rsidRPr="004C29E9">
        <w:t xml:space="preserve">«Об основных направлениях государственной политики по развитию конкуренции» предусмотрено поручение </w:t>
      </w:r>
      <w:r w:rsidR="000469A3" w:rsidRPr="004C29E9">
        <w:t>высшим должностным лицам (руководителям высших исполнительных органов государственной власти) субъектов Российской Федерации</w:t>
      </w:r>
      <w:r w:rsidR="00EF40A3" w:rsidRPr="004C29E9">
        <w:t xml:space="preserve"> </w:t>
      </w:r>
      <w:r w:rsidRPr="004C29E9">
        <w:t>в срок до</w:t>
      </w:r>
      <w:r w:rsidR="007738E3">
        <w:t xml:space="preserve"> </w:t>
      </w:r>
      <w:r w:rsidRPr="004C29E9">
        <w:t>1 марта 2019 г</w:t>
      </w:r>
      <w:r w:rsidR="00FD5528">
        <w:t>.</w:t>
      </w:r>
      <w:r w:rsidRPr="004C29E9">
        <w:t xml:space="preserve"> принять </w:t>
      </w:r>
      <w:r w:rsidR="000469A3" w:rsidRPr="004C29E9">
        <w:t xml:space="preserve">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 </w:t>
      </w:r>
      <w:r w:rsidRPr="004C29E9">
        <w:t xml:space="preserve">(абзац </w:t>
      </w:r>
      <w:r w:rsidR="000469A3" w:rsidRPr="004C29E9">
        <w:t>3</w:t>
      </w:r>
      <w:r w:rsidRPr="004C29E9">
        <w:t xml:space="preserve"> подпункта «</w:t>
      </w:r>
      <w:r w:rsidR="000469A3" w:rsidRPr="004C29E9">
        <w:t>е</w:t>
      </w:r>
      <w:r w:rsidRPr="004C29E9">
        <w:t>» пункта 2 Национального плана);</w:t>
      </w:r>
    </w:p>
    <w:p w:rsidR="00CE0F23" w:rsidRPr="004C29E9" w:rsidRDefault="00CE0F23" w:rsidP="00A01EFC">
      <w:pPr>
        <w:widowControl w:val="0"/>
        <w:ind w:firstLine="709"/>
        <w:contextualSpacing/>
        <w:jc w:val="both"/>
      </w:pPr>
      <w:r w:rsidRPr="004C29E9">
        <w:t>Распоряжением Правительства Российской Федерации от 18</w:t>
      </w:r>
      <w:r w:rsidR="00F01C98" w:rsidRPr="004C29E9">
        <w:t xml:space="preserve"> октября </w:t>
      </w:r>
      <w:r w:rsidRPr="004C29E9">
        <w:t xml:space="preserve">2018 </w:t>
      </w:r>
      <w:r w:rsidR="00F01C98" w:rsidRPr="004C29E9">
        <w:t xml:space="preserve">г. </w:t>
      </w:r>
      <w:r w:rsidRPr="004C29E9">
        <w:t>№</w:t>
      </w:r>
      <w:r w:rsidR="00F01C98" w:rsidRPr="004C29E9">
        <w:t> </w:t>
      </w:r>
      <w:r w:rsidRPr="004C29E9">
        <w:t>2258-р утверждены Методические рекомендации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законодательства. Пунктом</w:t>
      </w:r>
      <w:r w:rsidR="00FD5528">
        <w:t> </w:t>
      </w:r>
      <w:r w:rsidRPr="004C29E9">
        <w:t xml:space="preserve">2 </w:t>
      </w:r>
      <w:r w:rsidR="00F01C98" w:rsidRPr="004C29E9">
        <w:t xml:space="preserve">указанного </w:t>
      </w:r>
      <w:r w:rsidRPr="004C29E9">
        <w:t>распоряжения органам исполнительной власти субъектов Российской Федерации рекомендовано руководствоваться утвержденными методическими рекомендациями.</w:t>
      </w:r>
    </w:p>
    <w:p w:rsidR="00CE0F23" w:rsidRPr="004C29E9" w:rsidRDefault="00CE0F23" w:rsidP="00A01EFC">
      <w:pPr>
        <w:widowControl w:val="0"/>
        <w:ind w:firstLine="709"/>
        <w:contextualSpacing/>
        <w:jc w:val="both"/>
      </w:pPr>
      <w:r w:rsidRPr="004C29E9">
        <w:t xml:space="preserve">Приказом </w:t>
      </w:r>
      <w:r w:rsidR="00F01C98" w:rsidRPr="004C29E9">
        <w:t>министерства экономического развития и инвестиций Нижегородской области (далее – министерство)</w:t>
      </w:r>
      <w:r w:rsidRPr="004C29E9">
        <w:t xml:space="preserve"> от </w:t>
      </w:r>
      <w:r w:rsidR="00F01C98" w:rsidRPr="004C29E9">
        <w:t xml:space="preserve">13 февраля </w:t>
      </w:r>
      <w:r w:rsidRPr="004C29E9">
        <w:t>201</w:t>
      </w:r>
      <w:r w:rsidR="00F01C98" w:rsidRPr="004C29E9">
        <w:t>9</w:t>
      </w:r>
      <w:r w:rsidR="00FD5528">
        <w:t> </w:t>
      </w:r>
      <w:r w:rsidR="00F01C98" w:rsidRPr="004C29E9">
        <w:t>г.</w:t>
      </w:r>
      <w:r w:rsidRPr="004C29E9">
        <w:t xml:space="preserve"> №</w:t>
      </w:r>
      <w:r w:rsidR="00FD5528">
        <w:t> </w:t>
      </w:r>
      <w:r w:rsidR="00F01C98" w:rsidRPr="004C29E9">
        <w:t>15 утверждено Положение об организации в министерстве экономического развития и инвестиций Нижегородской области системы внутреннего обеспечения соответствия требованиям антимонопольного законодательства (антимонопольный комплаенс)</w:t>
      </w:r>
      <w:r w:rsidRPr="004C29E9">
        <w:t xml:space="preserve">, которым урегулирован порядок функционирования </w:t>
      </w:r>
      <w:r w:rsidR="00FD5528">
        <w:br/>
      </w:r>
      <w:r w:rsidRPr="004C29E9">
        <w:t xml:space="preserve">антимонопольного комплаенса в </w:t>
      </w:r>
      <w:r w:rsidR="00F01C98" w:rsidRPr="004C29E9">
        <w:t xml:space="preserve">министерстве </w:t>
      </w:r>
      <w:r w:rsidRPr="004C29E9">
        <w:t xml:space="preserve">(далее </w:t>
      </w:r>
      <w:r w:rsidR="00FD5528">
        <w:t>–</w:t>
      </w:r>
      <w:r w:rsidRPr="004C29E9">
        <w:t xml:space="preserve"> Положение)</w:t>
      </w:r>
      <w:r w:rsidR="00FD5528">
        <w:t xml:space="preserve"> </w:t>
      </w:r>
      <w:r w:rsidR="00BF5216" w:rsidRPr="004C29E9">
        <w:t>(</w:t>
      </w:r>
      <w:r w:rsidR="00FD5528" w:rsidRPr="00FD5528">
        <w:t>https://minec.nobl.ru/documents/other/85173/</w:t>
      </w:r>
      <w:r w:rsidR="00BF5216" w:rsidRPr="004C29E9">
        <w:t>).</w:t>
      </w:r>
    </w:p>
    <w:p w:rsidR="00CE0F23" w:rsidRPr="004C29E9" w:rsidRDefault="00F01C98" w:rsidP="00A01EFC">
      <w:pPr>
        <w:widowControl w:val="0"/>
        <w:ind w:firstLine="709"/>
        <w:contextualSpacing/>
        <w:jc w:val="both"/>
      </w:pPr>
      <w:r w:rsidRPr="004C29E9">
        <w:t>Согласно Положени</w:t>
      </w:r>
      <w:r w:rsidR="000120BB" w:rsidRPr="004C29E9">
        <w:t>ю,</w:t>
      </w:r>
      <w:r w:rsidRPr="004C29E9">
        <w:t xml:space="preserve"> коллегиальным </w:t>
      </w:r>
      <w:r w:rsidR="00CE0F23" w:rsidRPr="004C29E9">
        <w:t>органом, осуществляющим оценку эффективности антимонопольного комплаенса</w:t>
      </w:r>
      <w:r w:rsidR="0072283D" w:rsidRPr="004C29E9">
        <w:t>, а именно рассмотрение и оценк</w:t>
      </w:r>
      <w:r w:rsidR="00EF23D8" w:rsidRPr="004C29E9">
        <w:t>у</w:t>
      </w:r>
      <w:r w:rsidR="0072283D" w:rsidRPr="004C29E9">
        <w:t xml:space="preserve"> мероприятий Министерства в части, касающейся функционирования антимонопольного комплаенса, а также рассмотрение и утверждение доклада об антимонопольном комплаенсе</w:t>
      </w:r>
      <w:r w:rsidR="00CE0F23" w:rsidRPr="004C29E9">
        <w:t xml:space="preserve">, определен Общественный совет при </w:t>
      </w:r>
      <w:r w:rsidRPr="004C29E9">
        <w:t>министерстве</w:t>
      </w:r>
      <w:r w:rsidR="00CE0F23" w:rsidRPr="004C29E9">
        <w:t>.</w:t>
      </w:r>
      <w:r w:rsidRPr="004C29E9">
        <w:t xml:space="preserve"> </w:t>
      </w:r>
    </w:p>
    <w:p w:rsidR="004A7D92" w:rsidRPr="004C29E9" w:rsidRDefault="00CE0F23" w:rsidP="00A01EFC">
      <w:pPr>
        <w:widowControl w:val="0"/>
        <w:ind w:firstLine="709"/>
        <w:contextualSpacing/>
        <w:jc w:val="both"/>
      </w:pPr>
      <w:r w:rsidRPr="004C29E9">
        <w:t xml:space="preserve">Функции </w:t>
      </w:r>
      <w:r w:rsidR="004A7D92" w:rsidRPr="004C29E9">
        <w:t xml:space="preserve">уполномоченного </w:t>
      </w:r>
      <w:r w:rsidRPr="004C29E9">
        <w:t xml:space="preserve">подразделения, осуществляющего внедрение и контроль за исполнением в </w:t>
      </w:r>
      <w:r w:rsidR="00F01C98" w:rsidRPr="004C29E9">
        <w:t xml:space="preserve">министерстве </w:t>
      </w:r>
      <w:r w:rsidRPr="004C29E9">
        <w:t>антимонопольного комплаенса</w:t>
      </w:r>
      <w:r w:rsidR="004A7D92" w:rsidRPr="004C29E9">
        <w:t xml:space="preserve"> (далее </w:t>
      </w:r>
      <w:r w:rsidR="00FD5528">
        <w:t>–</w:t>
      </w:r>
      <w:r w:rsidR="004A7D92" w:rsidRPr="004C29E9">
        <w:t xml:space="preserve"> </w:t>
      </w:r>
      <w:r w:rsidR="00887DB2" w:rsidRPr="004C29E9">
        <w:lastRenderedPageBreak/>
        <w:t xml:space="preserve">Уполномоченное </w:t>
      </w:r>
      <w:r w:rsidR="004A7D92" w:rsidRPr="004C29E9">
        <w:t>подразделение</w:t>
      </w:r>
      <w:r w:rsidR="00887DB2" w:rsidRPr="004C29E9">
        <w:t>, Управление</w:t>
      </w:r>
      <w:r w:rsidR="004A7D92" w:rsidRPr="004C29E9">
        <w:t>)</w:t>
      </w:r>
      <w:r w:rsidRPr="004C29E9">
        <w:t xml:space="preserve">, </w:t>
      </w:r>
      <w:r w:rsidR="00C72E2B" w:rsidRPr="004C29E9">
        <w:t xml:space="preserve">распределены между </w:t>
      </w:r>
      <w:r w:rsidR="004A7D92" w:rsidRPr="004C29E9">
        <w:t xml:space="preserve">управлением финансово-экономической политики и правовой работы министерства </w:t>
      </w:r>
      <w:r w:rsidR="00C72E2B" w:rsidRPr="004C29E9">
        <w:t>и</w:t>
      </w:r>
      <w:r w:rsidR="004A7D92" w:rsidRPr="004C29E9">
        <w:t xml:space="preserve"> </w:t>
      </w:r>
      <w:r w:rsidR="00EC7B20">
        <w:t>министерством кадровой и молодежной политики Нижегородской области</w:t>
      </w:r>
      <w:r w:rsidR="004A7D92" w:rsidRPr="004C29E9">
        <w:t>.</w:t>
      </w:r>
    </w:p>
    <w:p w:rsidR="00B71DCD" w:rsidRPr="004C29E9" w:rsidRDefault="00B71DCD" w:rsidP="00A01EFC">
      <w:pPr>
        <w:widowControl w:val="0"/>
        <w:ind w:firstLine="709"/>
        <w:contextualSpacing/>
        <w:jc w:val="both"/>
      </w:pPr>
    </w:p>
    <w:p w:rsidR="008A4662" w:rsidRDefault="00B71DCD" w:rsidP="00A01EFC">
      <w:pPr>
        <w:widowControl w:val="0"/>
        <w:ind w:firstLine="709"/>
        <w:contextualSpacing/>
        <w:jc w:val="center"/>
        <w:rPr>
          <w:b/>
        </w:rPr>
      </w:pPr>
      <w:r w:rsidRPr="004C29E9">
        <w:rPr>
          <w:b/>
        </w:rPr>
        <w:t>II. </w:t>
      </w:r>
      <w:r w:rsidR="00ED0AFA" w:rsidRPr="004C29E9">
        <w:rPr>
          <w:b/>
        </w:rPr>
        <w:t>Информация о проведении выявления и оценки рисков нарушения антимонопольного законодательства</w:t>
      </w:r>
    </w:p>
    <w:p w:rsidR="00F52F01" w:rsidRPr="004C29E9" w:rsidRDefault="00F52F01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 xml:space="preserve">В целях оценки рисков нарушения антимонопольного законодательства (далее </w:t>
      </w:r>
      <w:r w:rsidR="00FD5528">
        <w:rPr>
          <w:rFonts w:ascii="Times New Roman" w:hAnsi="Times New Roman" w:cs="Times New Roman"/>
          <w:sz w:val="28"/>
          <w:szCs w:val="28"/>
        </w:rPr>
        <w:t>–</w:t>
      </w:r>
      <w:r w:rsidRPr="004C29E9">
        <w:rPr>
          <w:rFonts w:ascii="Times New Roman" w:hAnsi="Times New Roman" w:cs="Times New Roman"/>
          <w:sz w:val="28"/>
          <w:szCs w:val="28"/>
        </w:rPr>
        <w:t xml:space="preserve"> комплаенс-рисков) Уполномоченным подразделением проведен анализ факторов, событий и обстоятельств, которые влияют на совершение таких нарушений.</w:t>
      </w:r>
    </w:p>
    <w:p w:rsidR="00F52F01" w:rsidRPr="004C29E9" w:rsidRDefault="00F52F01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>Под комплаенс-рисками понимались те потенциально возможные события, обстоятельства и факторы, поддающиеся определению и оценке, которые влияют на наступление такого неблагоприятного события</w:t>
      </w:r>
      <w:r w:rsidR="000120BB" w:rsidRPr="004C29E9">
        <w:rPr>
          <w:rFonts w:ascii="Times New Roman" w:hAnsi="Times New Roman" w:cs="Times New Roman"/>
          <w:sz w:val="28"/>
          <w:szCs w:val="28"/>
        </w:rPr>
        <w:t>,</w:t>
      </w:r>
      <w:r w:rsidRPr="004C29E9">
        <w:rPr>
          <w:rFonts w:ascii="Times New Roman" w:hAnsi="Times New Roman" w:cs="Times New Roman"/>
          <w:sz w:val="28"/>
          <w:szCs w:val="28"/>
        </w:rPr>
        <w:t xml:space="preserve"> как нарушение министерством антимонопольного законодательства.</w:t>
      </w:r>
    </w:p>
    <w:p w:rsidR="00ED0AFA" w:rsidRPr="004C29E9" w:rsidRDefault="00ED0AF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 xml:space="preserve">2.1. По результатам анализа нормативных правовых актов министерства </w:t>
      </w:r>
      <w:r w:rsidR="00FD5528">
        <w:rPr>
          <w:rFonts w:ascii="Times New Roman" w:hAnsi="Times New Roman" w:cs="Times New Roman"/>
          <w:sz w:val="28"/>
          <w:szCs w:val="28"/>
        </w:rPr>
        <w:br/>
      </w:r>
      <w:r w:rsidRPr="004C29E9">
        <w:rPr>
          <w:rFonts w:ascii="Times New Roman" w:hAnsi="Times New Roman" w:cs="Times New Roman"/>
          <w:sz w:val="28"/>
          <w:szCs w:val="28"/>
        </w:rPr>
        <w:t>за 3 года (20</w:t>
      </w:r>
      <w:r w:rsidR="007738E3">
        <w:rPr>
          <w:rFonts w:ascii="Times New Roman" w:hAnsi="Times New Roman" w:cs="Times New Roman"/>
          <w:sz w:val="28"/>
          <w:szCs w:val="28"/>
        </w:rPr>
        <w:t>2</w:t>
      </w:r>
      <w:r w:rsidR="00B2021B">
        <w:rPr>
          <w:rFonts w:ascii="Times New Roman" w:hAnsi="Times New Roman" w:cs="Times New Roman"/>
          <w:sz w:val="28"/>
          <w:szCs w:val="28"/>
        </w:rPr>
        <w:t>3</w:t>
      </w:r>
      <w:r w:rsidRPr="004C29E9">
        <w:rPr>
          <w:rFonts w:ascii="Times New Roman" w:hAnsi="Times New Roman" w:cs="Times New Roman"/>
          <w:sz w:val="28"/>
          <w:szCs w:val="28"/>
        </w:rPr>
        <w:t>, 20</w:t>
      </w:r>
      <w:r w:rsidR="00B12725">
        <w:rPr>
          <w:rFonts w:ascii="Times New Roman" w:hAnsi="Times New Roman" w:cs="Times New Roman"/>
          <w:sz w:val="28"/>
          <w:szCs w:val="28"/>
        </w:rPr>
        <w:t>2</w:t>
      </w:r>
      <w:r w:rsidR="00B2021B">
        <w:rPr>
          <w:rFonts w:ascii="Times New Roman" w:hAnsi="Times New Roman" w:cs="Times New Roman"/>
          <w:sz w:val="28"/>
          <w:szCs w:val="28"/>
        </w:rPr>
        <w:t>4</w:t>
      </w:r>
      <w:r w:rsidRPr="004C29E9">
        <w:rPr>
          <w:rFonts w:ascii="Times New Roman" w:hAnsi="Times New Roman" w:cs="Times New Roman"/>
          <w:sz w:val="28"/>
          <w:szCs w:val="28"/>
        </w:rPr>
        <w:t>, 20</w:t>
      </w:r>
      <w:r w:rsidR="0012609E">
        <w:rPr>
          <w:rFonts w:ascii="Times New Roman" w:hAnsi="Times New Roman" w:cs="Times New Roman"/>
          <w:sz w:val="28"/>
          <w:szCs w:val="28"/>
        </w:rPr>
        <w:t>2</w:t>
      </w:r>
      <w:r w:rsidR="00B2021B">
        <w:rPr>
          <w:rFonts w:ascii="Times New Roman" w:hAnsi="Times New Roman" w:cs="Times New Roman"/>
          <w:sz w:val="28"/>
          <w:szCs w:val="28"/>
        </w:rPr>
        <w:t>5</w:t>
      </w:r>
      <w:r w:rsidRPr="004C29E9">
        <w:rPr>
          <w:rFonts w:ascii="Times New Roman" w:hAnsi="Times New Roman" w:cs="Times New Roman"/>
          <w:sz w:val="28"/>
          <w:szCs w:val="28"/>
        </w:rPr>
        <w:t xml:space="preserve"> </w:t>
      </w:r>
      <w:r w:rsidR="00FD5528">
        <w:rPr>
          <w:rFonts w:ascii="Times New Roman" w:hAnsi="Times New Roman" w:cs="Times New Roman"/>
          <w:sz w:val="28"/>
          <w:szCs w:val="28"/>
        </w:rPr>
        <w:t>годы</w:t>
      </w:r>
      <w:r w:rsidRPr="004C29E9">
        <w:rPr>
          <w:rFonts w:ascii="Times New Roman" w:hAnsi="Times New Roman" w:cs="Times New Roman"/>
          <w:sz w:val="28"/>
          <w:szCs w:val="28"/>
        </w:rPr>
        <w:t xml:space="preserve">) нарушений антимонопольного законодательства </w:t>
      </w:r>
      <w:r w:rsidR="00FD5528">
        <w:rPr>
          <w:rFonts w:ascii="Times New Roman" w:hAnsi="Times New Roman" w:cs="Times New Roman"/>
          <w:sz w:val="28"/>
          <w:szCs w:val="28"/>
        </w:rPr>
        <w:br/>
      </w:r>
      <w:r w:rsidRPr="004C29E9">
        <w:rPr>
          <w:rFonts w:ascii="Times New Roman" w:hAnsi="Times New Roman" w:cs="Times New Roman"/>
          <w:sz w:val="28"/>
          <w:szCs w:val="28"/>
        </w:rPr>
        <w:t>не выявлено.</w:t>
      </w:r>
    </w:p>
    <w:p w:rsidR="00ED0AFA" w:rsidRPr="004C29E9" w:rsidRDefault="00ED0AF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 xml:space="preserve">Предостережения, предупреждения от антимонопольных органов в адрес министерства не выносились. </w:t>
      </w:r>
    </w:p>
    <w:p w:rsidR="00ED0AFA" w:rsidRPr="004C29E9" w:rsidRDefault="00ED0AF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 xml:space="preserve">Жалобы на выявленные нарушения антимонопольного законодательства </w:t>
      </w:r>
      <w:r w:rsidR="00FD5528">
        <w:rPr>
          <w:rFonts w:ascii="Times New Roman" w:hAnsi="Times New Roman" w:cs="Times New Roman"/>
          <w:sz w:val="28"/>
          <w:szCs w:val="28"/>
        </w:rPr>
        <w:br/>
      </w:r>
      <w:r w:rsidRPr="004C29E9">
        <w:rPr>
          <w:rFonts w:ascii="Times New Roman" w:hAnsi="Times New Roman" w:cs="Times New Roman"/>
          <w:sz w:val="28"/>
          <w:szCs w:val="28"/>
        </w:rPr>
        <w:t xml:space="preserve">в деятельности министерства отсутствуют. </w:t>
      </w:r>
    </w:p>
    <w:p w:rsidR="00F52F01" w:rsidRPr="004C29E9" w:rsidRDefault="00ED0AF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>Дела по признакам нарушения антимонопольного зак</w:t>
      </w:r>
      <w:r w:rsidR="0012609E">
        <w:rPr>
          <w:rFonts w:ascii="Times New Roman" w:hAnsi="Times New Roman" w:cs="Times New Roman"/>
          <w:sz w:val="28"/>
          <w:szCs w:val="28"/>
        </w:rPr>
        <w:t xml:space="preserve">онодательства </w:t>
      </w:r>
      <w:r w:rsidR="00FD5528">
        <w:rPr>
          <w:rFonts w:ascii="Times New Roman" w:hAnsi="Times New Roman" w:cs="Times New Roman"/>
          <w:sz w:val="28"/>
          <w:szCs w:val="28"/>
        </w:rPr>
        <w:br/>
      </w:r>
      <w:r w:rsidR="0012609E">
        <w:rPr>
          <w:rFonts w:ascii="Times New Roman" w:hAnsi="Times New Roman" w:cs="Times New Roman"/>
          <w:sz w:val="28"/>
          <w:szCs w:val="28"/>
        </w:rPr>
        <w:t>не возбуждались.</w:t>
      </w:r>
    </w:p>
    <w:p w:rsidR="00F52F01" w:rsidRPr="004C29E9" w:rsidRDefault="00F52F01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>Решения министерства, отмененные судом в связи с нарушениями антимонопольного законодательства</w:t>
      </w:r>
      <w:r w:rsidR="00FD5528">
        <w:rPr>
          <w:rFonts w:ascii="Times New Roman" w:hAnsi="Times New Roman" w:cs="Times New Roman"/>
          <w:sz w:val="28"/>
          <w:szCs w:val="28"/>
        </w:rPr>
        <w:t>,</w:t>
      </w:r>
      <w:r w:rsidRPr="004C29E9">
        <w:rPr>
          <w:rFonts w:ascii="Times New Roman" w:hAnsi="Times New Roman" w:cs="Times New Roman"/>
          <w:sz w:val="28"/>
          <w:szCs w:val="28"/>
        </w:rPr>
        <w:t xml:space="preserve"> отсутствуют. </w:t>
      </w:r>
    </w:p>
    <w:p w:rsidR="00F52F01" w:rsidRPr="004C29E9" w:rsidRDefault="00F52F01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>Органами прокуратуры в 20</w:t>
      </w:r>
      <w:r w:rsidR="0012609E">
        <w:rPr>
          <w:rFonts w:ascii="Times New Roman" w:hAnsi="Times New Roman" w:cs="Times New Roman"/>
          <w:sz w:val="28"/>
          <w:szCs w:val="28"/>
        </w:rPr>
        <w:t>2</w:t>
      </w:r>
      <w:r w:rsidR="00B2021B">
        <w:rPr>
          <w:rFonts w:ascii="Times New Roman" w:hAnsi="Times New Roman" w:cs="Times New Roman"/>
          <w:sz w:val="28"/>
          <w:szCs w:val="28"/>
        </w:rPr>
        <w:t>5</w:t>
      </w:r>
      <w:r w:rsidRPr="004C29E9">
        <w:rPr>
          <w:rFonts w:ascii="Times New Roman" w:hAnsi="Times New Roman" w:cs="Times New Roman"/>
          <w:sz w:val="28"/>
          <w:szCs w:val="28"/>
        </w:rPr>
        <w:t xml:space="preserve"> году министерство по линии нарушений антимонопольного законодательства не проверялось.</w:t>
      </w:r>
    </w:p>
    <w:p w:rsidR="00F52F01" w:rsidRPr="004C29E9" w:rsidRDefault="00ED0AF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>2.2.</w:t>
      </w:r>
      <w:r w:rsidR="00F52F01" w:rsidRPr="004C29E9">
        <w:rPr>
          <w:rFonts w:ascii="Times New Roman" w:hAnsi="Times New Roman" w:cs="Times New Roman"/>
          <w:sz w:val="28"/>
          <w:szCs w:val="28"/>
        </w:rPr>
        <w:t>-2.3.</w:t>
      </w:r>
      <w:r w:rsidR="00F52F01" w:rsidRPr="004C29E9">
        <w:t xml:space="preserve"> </w:t>
      </w:r>
      <w:r w:rsidR="00F52F01" w:rsidRPr="004C29E9">
        <w:rPr>
          <w:rFonts w:ascii="Times New Roman" w:hAnsi="Times New Roman" w:cs="Times New Roman"/>
          <w:sz w:val="28"/>
          <w:szCs w:val="28"/>
        </w:rPr>
        <w:t>Проводимые министерством на постоянной основе правовая и антикоррупционная экспертизы нормативных правовых актов и проектов нормативных правовых актов направлены на выявление и исключение случаев нарушения положений актов законодательства Российской Федерации</w:t>
      </w:r>
      <w:r w:rsidR="0072283D" w:rsidRPr="004C29E9">
        <w:rPr>
          <w:rFonts w:ascii="Times New Roman" w:hAnsi="Times New Roman" w:cs="Times New Roman"/>
          <w:sz w:val="28"/>
          <w:szCs w:val="28"/>
        </w:rPr>
        <w:t xml:space="preserve"> в части антимонопольного регулирования</w:t>
      </w:r>
      <w:r w:rsidR="00F52F01" w:rsidRPr="004C29E9">
        <w:rPr>
          <w:rFonts w:ascii="Times New Roman" w:hAnsi="Times New Roman" w:cs="Times New Roman"/>
          <w:sz w:val="28"/>
          <w:szCs w:val="28"/>
        </w:rPr>
        <w:t>,</w:t>
      </w:r>
      <w:r w:rsidR="0072283D" w:rsidRPr="004C29E9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F52F01" w:rsidRPr="004C29E9">
        <w:rPr>
          <w:rFonts w:ascii="Times New Roman" w:hAnsi="Times New Roman" w:cs="Times New Roman"/>
          <w:sz w:val="28"/>
          <w:szCs w:val="28"/>
        </w:rPr>
        <w:t>выявление в них коррупциогенных факторов и их последующее устранение.</w:t>
      </w:r>
    </w:p>
    <w:p w:rsidR="00F52F01" w:rsidRPr="004C29E9" w:rsidRDefault="00F52F01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 xml:space="preserve">При правовой экспертизе проводится правовая оценка формы правового акта, его целей и задач, предмета правового регулирования, компетенции органа, принявшего правовой акт, содержащихся в нем норм, порядка принятия, обнародования (опубликования) на предмет соответствия требованиям Конституции Российской Федерации и федеральных законов, а также оценка соответствия правового акта требованиям юридической техники (в том числе проверка наличия необходимых реквизитов). Также оценивается состояние правового регулирования в соответствующей сфере правоотношений. Цели, задачи и предмет правового регулирования правового акта анализируются на соответствие основам конституционного строя Российской Федерации, соблюдение основных прав и свобод человека и гражданина, а также оценке с точки зрения соответствия разграничению предметов ведения Российской Федерации и субъектов Российской </w:t>
      </w:r>
      <w:r w:rsidRPr="004C29E9">
        <w:rPr>
          <w:rFonts w:ascii="Times New Roman" w:hAnsi="Times New Roman" w:cs="Times New Roman"/>
          <w:sz w:val="28"/>
          <w:szCs w:val="28"/>
        </w:rPr>
        <w:lastRenderedPageBreak/>
        <w:t>Федерации, установленному Конституцией Российской и федеральными законами.</w:t>
      </w:r>
    </w:p>
    <w:p w:rsidR="003901DE" w:rsidRPr="004C29E9" w:rsidRDefault="00ED0AF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30D">
        <w:rPr>
          <w:rFonts w:ascii="Times New Roman" w:hAnsi="Times New Roman" w:cs="Times New Roman"/>
          <w:sz w:val="28"/>
          <w:szCs w:val="28"/>
        </w:rPr>
        <w:t xml:space="preserve">За отчетный период на официальном сайте Правительства Нижегородской области в разделе «Независимая антикоррупционная экспертиза проектов нормативных правовых актов Нижегородской области и их общественное обсуждение» министерством </w:t>
      </w:r>
      <w:r w:rsidR="004B1FA0">
        <w:rPr>
          <w:rFonts w:ascii="Times New Roman" w:hAnsi="Times New Roman" w:cs="Times New Roman"/>
          <w:sz w:val="28"/>
          <w:szCs w:val="28"/>
        </w:rPr>
        <w:t>проекты приказов</w:t>
      </w:r>
      <w:r w:rsidR="00B24DEC" w:rsidRPr="00E6630D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B1FA0">
        <w:rPr>
          <w:rFonts w:ascii="Times New Roman" w:hAnsi="Times New Roman" w:cs="Times New Roman"/>
          <w:sz w:val="28"/>
          <w:szCs w:val="28"/>
        </w:rPr>
        <w:t xml:space="preserve"> не размещались</w:t>
      </w:r>
      <w:r w:rsidR="003901DE" w:rsidRPr="00E6630D">
        <w:rPr>
          <w:rFonts w:ascii="Times New Roman" w:hAnsi="Times New Roman" w:cs="Times New Roman"/>
          <w:sz w:val="28"/>
          <w:szCs w:val="28"/>
        </w:rPr>
        <w:t>.</w:t>
      </w:r>
    </w:p>
    <w:p w:rsidR="00ED0AFA" w:rsidRPr="004C29E9" w:rsidRDefault="00ED0AF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>Данные проекты не оказывают влияния на конкур</w:t>
      </w:r>
      <w:r w:rsidR="0012609E">
        <w:rPr>
          <w:rFonts w:ascii="Times New Roman" w:hAnsi="Times New Roman" w:cs="Times New Roman"/>
          <w:sz w:val="28"/>
          <w:szCs w:val="28"/>
        </w:rPr>
        <w:t>енцию, замечаний и предложений со</w:t>
      </w:r>
      <w:r w:rsidRPr="004C29E9">
        <w:rPr>
          <w:rFonts w:ascii="Times New Roman" w:hAnsi="Times New Roman" w:cs="Times New Roman"/>
          <w:sz w:val="28"/>
          <w:szCs w:val="28"/>
        </w:rPr>
        <w:t xml:space="preserve"> стороны организаций и граждан по опубликованным проектам не поступало, нарушений антимонопольного законодательства не выявлено.</w:t>
      </w:r>
    </w:p>
    <w:p w:rsidR="0012609E" w:rsidRDefault="0028451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>Нормативные правовые акты министерства размещены на официальном сайте министерств</w:t>
      </w:r>
      <w:r w:rsidR="0012609E">
        <w:rPr>
          <w:rFonts w:ascii="Times New Roman" w:hAnsi="Times New Roman" w:cs="Times New Roman"/>
          <w:sz w:val="28"/>
          <w:szCs w:val="28"/>
        </w:rPr>
        <w:t xml:space="preserve">а в сети «Интернет» по адресу: </w:t>
      </w:r>
      <w:r w:rsidR="00FD5528" w:rsidRPr="00FD5528">
        <w:rPr>
          <w:rFonts w:ascii="Times New Roman" w:hAnsi="Times New Roman" w:cs="Times New Roman"/>
          <w:sz w:val="28"/>
          <w:szCs w:val="28"/>
        </w:rPr>
        <w:t>https://minec.nobl.ru/</w:t>
      </w:r>
      <w:r w:rsidR="0012609E">
        <w:rPr>
          <w:rFonts w:ascii="Times New Roman" w:hAnsi="Times New Roman" w:cs="Times New Roman"/>
          <w:sz w:val="28"/>
          <w:szCs w:val="28"/>
        </w:rPr>
        <w:t>.</w:t>
      </w:r>
    </w:p>
    <w:p w:rsidR="0028451A" w:rsidRPr="004C29E9" w:rsidRDefault="0028451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>Там же указана электронная почта для напра</w:t>
      </w:r>
      <w:r w:rsidR="007738E3">
        <w:rPr>
          <w:rFonts w:ascii="Times New Roman" w:hAnsi="Times New Roman" w:cs="Times New Roman"/>
          <w:sz w:val="28"/>
          <w:szCs w:val="28"/>
        </w:rPr>
        <w:t>вления замечаний и предложений.</w:t>
      </w:r>
    </w:p>
    <w:p w:rsidR="00ED0AFA" w:rsidRPr="004C29E9" w:rsidRDefault="0028451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 xml:space="preserve">Замечания и предложения со стороны граждан на нормативные правовые акты </w:t>
      </w:r>
      <w:r w:rsidR="008C6B92" w:rsidRPr="004C29E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4C29E9">
        <w:rPr>
          <w:rFonts w:ascii="Times New Roman" w:hAnsi="Times New Roman" w:cs="Times New Roman"/>
          <w:sz w:val="28"/>
          <w:szCs w:val="28"/>
        </w:rPr>
        <w:t>за период с 20</w:t>
      </w:r>
      <w:r w:rsidR="007738E3">
        <w:rPr>
          <w:rFonts w:ascii="Times New Roman" w:hAnsi="Times New Roman" w:cs="Times New Roman"/>
          <w:sz w:val="28"/>
          <w:szCs w:val="28"/>
        </w:rPr>
        <w:t>2</w:t>
      </w:r>
      <w:r w:rsidR="00B2021B">
        <w:rPr>
          <w:rFonts w:ascii="Times New Roman" w:hAnsi="Times New Roman" w:cs="Times New Roman"/>
          <w:sz w:val="28"/>
          <w:szCs w:val="28"/>
        </w:rPr>
        <w:t>3</w:t>
      </w:r>
      <w:r w:rsidRPr="004C29E9">
        <w:rPr>
          <w:rFonts w:ascii="Times New Roman" w:hAnsi="Times New Roman" w:cs="Times New Roman"/>
          <w:sz w:val="28"/>
          <w:szCs w:val="28"/>
        </w:rPr>
        <w:t xml:space="preserve"> по 20</w:t>
      </w:r>
      <w:r w:rsidR="00F9373C">
        <w:rPr>
          <w:rFonts w:ascii="Times New Roman" w:hAnsi="Times New Roman" w:cs="Times New Roman"/>
          <w:sz w:val="28"/>
          <w:szCs w:val="28"/>
        </w:rPr>
        <w:t>2</w:t>
      </w:r>
      <w:r w:rsidR="00B2021B">
        <w:rPr>
          <w:rFonts w:ascii="Times New Roman" w:hAnsi="Times New Roman" w:cs="Times New Roman"/>
          <w:sz w:val="28"/>
          <w:szCs w:val="28"/>
        </w:rPr>
        <w:t>5</w:t>
      </w:r>
      <w:r w:rsidR="00B12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72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B12725">
        <w:rPr>
          <w:rFonts w:ascii="Times New Roman" w:hAnsi="Times New Roman" w:cs="Times New Roman"/>
          <w:sz w:val="28"/>
          <w:szCs w:val="28"/>
        </w:rPr>
        <w:t>. не поступали.</w:t>
      </w:r>
    </w:p>
    <w:p w:rsidR="0028451A" w:rsidRPr="004C29E9" w:rsidRDefault="0028451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>2.4-2.5. К комплаенс-рискам министерства относятся:</w:t>
      </w:r>
    </w:p>
    <w:p w:rsidR="00076F29" w:rsidRPr="004C29E9" w:rsidRDefault="00FD5528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8451A" w:rsidRPr="004C29E9">
        <w:rPr>
          <w:rFonts w:ascii="Times New Roman" w:hAnsi="Times New Roman" w:cs="Times New Roman"/>
          <w:sz w:val="28"/>
          <w:szCs w:val="28"/>
        </w:rPr>
        <w:t xml:space="preserve"> </w:t>
      </w:r>
      <w:r w:rsidR="00377D3B" w:rsidRPr="004C29E9">
        <w:rPr>
          <w:rFonts w:ascii="Times New Roman" w:hAnsi="Times New Roman" w:cs="Times New Roman"/>
          <w:sz w:val="28"/>
          <w:szCs w:val="28"/>
        </w:rPr>
        <w:t xml:space="preserve">Излишне </w:t>
      </w:r>
      <w:r w:rsidR="0028451A" w:rsidRPr="004C29E9">
        <w:rPr>
          <w:rFonts w:ascii="Times New Roman" w:hAnsi="Times New Roman" w:cs="Times New Roman"/>
          <w:sz w:val="28"/>
          <w:szCs w:val="28"/>
        </w:rPr>
        <w:t>установленные требования к участникам закупки</w:t>
      </w:r>
      <w:r w:rsidR="00377D3B" w:rsidRPr="004C29E9">
        <w:rPr>
          <w:rFonts w:ascii="Times New Roman" w:hAnsi="Times New Roman" w:cs="Times New Roman"/>
          <w:sz w:val="28"/>
          <w:szCs w:val="28"/>
        </w:rPr>
        <w:t>. Уровень риска – высокий;</w:t>
      </w:r>
      <w:r w:rsidR="0028451A" w:rsidRPr="004C2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D3B" w:rsidRPr="004C29E9" w:rsidRDefault="00FD5528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76F29" w:rsidRPr="004C29E9">
        <w:rPr>
          <w:rFonts w:ascii="Times New Roman" w:hAnsi="Times New Roman" w:cs="Times New Roman"/>
          <w:sz w:val="28"/>
          <w:szCs w:val="28"/>
        </w:rPr>
        <w:t> </w:t>
      </w:r>
      <w:r w:rsidR="00377D3B" w:rsidRPr="004C29E9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28451A" w:rsidRPr="004C29E9">
        <w:rPr>
          <w:rFonts w:ascii="Times New Roman" w:hAnsi="Times New Roman" w:cs="Times New Roman"/>
          <w:sz w:val="28"/>
          <w:szCs w:val="28"/>
        </w:rPr>
        <w:t xml:space="preserve">о предоставлении документов, не предусмотренных законодательством </w:t>
      </w:r>
      <w:r w:rsidR="00377D3B" w:rsidRPr="004C29E9">
        <w:rPr>
          <w:rFonts w:ascii="Times New Roman" w:hAnsi="Times New Roman" w:cs="Times New Roman"/>
          <w:sz w:val="28"/>
          <w:szCs w:val="28"/>
        </w:rPr>
        <w:t>о закупках. Уровень риска – высокий;</w:t>
      </w:r>
    </w:p>
    <w:p w:rsidR="0028451A" w:rsidRPr="004C29E9" w:rsidRDefault="00FD5528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7D3B" w:rsidRPr="004C29E9">
        <w:rPr>
          <w:rFonts w:ascii="Times New Roman" w:hAnsi="Times New Roman" w:cs="Times New Roman"/>
          <w:sz w:val="28"/>
          <w:szCs w:val="28"/>
        </w:rPr>
        <w:t xml:space="preserve"> Установление </w:t>
      </w:r>
      <w:r w:rsidR="0028451A" w:rsidRPr="004C29E9">
        <w:rPr>
          <w:rFonts w:ascii="Times New Roman" w:hAnsi="Times New Roman" w:cs="Times New Roman"/>
          <w:sz w:val="28"/>
          <w:szCs w:val="28"/>
        </w:rPr>
        <w:t xml:space="preserve">неправомерных сроков окончания </w:t>
      </w:r>
      <w:r w:rsidR="00377D3B" w:rsidRPr="004C29E9">
        <w:rPr>
          <w:rFonts w:ascii="Times New Roman" w:hAnsi="Times New Roman" w:cs="Times New Roman"/>
          <w:sz w:val="28"/>
          <w:szCs w:val="28"/>
        </w:rPr>
        <w:t>размещения</w:t>
      </w:r>
      <w:r w:rsidR="0028451A" w:rsidRPr="004C29E9">
        <w:rPr>
          <w:rFonts w:ascii="Times New Roman" w:hAnsi="Times New Roman" w:cs="Times New Roman"/>
          <w:sz w:val="28"/>
          <w:szCs w:val="28"/>
        </w:rPr>
        <w:t xml:space="preserve"> извещений о закупках товаров, работ, услуг, конкурентными способами. Уровень риска – высокий;</w:t>
      </w:r>
    </w:p>
    <w:p w:rsidR="00377D3B" w:rsidRPr="004C29E9" w:rsidRDefault="00FD5528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7D3B" w:rsidRPr="004C29E9">
        <w:rPr>
          <w:rFonts w:ascii="Times New Roman" w:hAnsi="Times New Roman" w:cs="Times New Roman"/>
          <w:sz w:val="28"/>
          <w:szCs w:val="28"/>
        </w:rPr>
        <w:t> Сокращение сроков подачи заявок на участие в определении поставщика, подрядчика, исполнителя. Уровень риска – высокий;</w:t>
      </w:r>
    </w:p>
    <w:p w:rsidR="0028451A" w:rsidRPr="004C29E9" w:rsidRDefault="00FD5528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7D3B" w:rsidRPr="004C29E9">
        <w:rPr>
          <w:rFonts w:ascii="Times New Roman" w:hAnsi="Times New Roman" w:cs="Times New Roman"/>
          <w:sz w:val="28"/>
          <w:szCs w:val="28"/>
        </w:rPr>
        <w:t xml:space="preserve"> Нарушение </w:t>
      </w:r>
      <w:r w:rsidR="0028451A" w:rsidRPr="004C29E9">
        <w:rPr>
          <w:rFonts w:ascii="Times New Roman" w:hAnsi="Times New Roman" w:cs="Times New Roman"/>
          <w:sz w:val="28"/>
          <w:szCs w:val="28"/>
        </w:rPr>
        <w:t>порядка признания победителя, определени</w:t>
      </w:r>
      <w:r w:rsidR="00377D3B" w:rsidRPr="004C29E9">
        <w:rPr>
          <w:rFonts w:ascii="Times New Roman" w:hAnsi="Times New Roman" w:cs="Times New Roman"/>
          <w:sz w:val="28"/>
          <w:szCs w:val="28"/>
        </w:rPr>
        <w:t>я</w:t>
      </w:r>
      <w:r w:rsidR="0028451A" w:rsidRPr="004C29E9">
        <w:rPr>
          <w:rFonts w:ascii="Times New Roman" w:hAnsi="Times New Roman" w:cs="Times New Roman"/>
          <w:sz w:val="28"/>
          <w:szCs w:val="28"/>
        </w:rPr>
        <w:t xml:space="preserve"> поставщика (подрядчика, исполнителя) при подведении итогов проведения конкурентной закупки. Уровень риска – высокий;</w:t>
      </w:r>
    </w:p>
    <w:p w:rsidR="00377D3B" w:rsidRPr="004C29E9" w:rsidRDefault="00FD5528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7D3B" w:rsidRPr="004C29E9">
        <w:rPr>
          <w:rFonts w:ascii="Times New Roman" w:hAnsi="Times New Roman" w:cs="Times New Roman"/>
          <w:sz w:val="28"/>
          <w:szCs w:val="28"/>
        </w:rPr>
        <w:t xml:space="preserve"> Включение в описание объекта закупки требований, влекущих ограничение конкуренции. Уровень риска – высокий;</w:t>
      </w:r>
    </w:p>
    <w:p w:rsidR="00377D3B" w:rsidRPr="004C29E9" w:rsidRDefault="00FD5528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7D3B" w:rsidRPr="004C29E9">
        <w:rPr>
          <w:rFonts w:ascii="Times New Roman" w:hAnsi="Times New Roman" w:cs="Times New Roman"/>
          <w:sz w:val="28"/>
          <w:szCs w:val="28"/>
        </w:rPr>
        <w:t> Не размещение документов, размещение которых предусмотрено законодательством о закупках. Уровень риска – высокий;</w:t>
      </w:r>
    </w:p>
    <w:p w:rsidR="0028451A" w:rsidRPr="004C29E9" w:rsidRDefault="00FD5528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8451A" w:rsidRPr="004C29E9">
        <w:rPr>
          <w:rFonts w:ascii="Times New Roman" w:hAnsi="Times New Roman" w:cs="Times New Roman"/>
          <w:sz w:val="28"/>
          <w:szCs w:val="28"/>
        </w:rPr>
        <w:t xml:space="preserve"> </w:t>
      </w:r>
      <w:r w:rsidR="00377D3B" w:rsidRPr="004C29E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28451A" w:rsidRPr="004C29E9">
        <w:rPr>
          <w:rFonts w:ascii="Times New Roman" w:hAnsi="Times New Roman" w:cs="Times New Roman"/>
          <w:sz w:val="28"/>
          <w:szCs w:val="28"/>
        </w:rPr>
        <w:t xml:space="preserve">актов и осуществление действий (бездействия),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 и (или) осуществления таких действий (бездействия). Уровень риска </w:t>
      </w:r>
      <w:r w:rsidR="00377D3B" w:rsidRPr="004C29E9">
        <w:rPr>
          <w:rFonts w:ascii="Times New Roman" w:hAnsi="Times New Roman" w:cs="Times New Roman"/>
          <w:sz w:val="28"/>
          <w:szCs w:val="28"/>
        </w:rPr>
        <w:t>–</w:t>
      </w:r>
      <w:r w:rsidR="0028451A" w:rsidRPr="004C29E9">
        <w:rPr>
          <w:rFonts w:ascii="Times New Roman" w:hAnsi="Times New Roman" w:cs="Times New Roman"/>
          <w:sz w:val="28"/>
          <w:szCs w:val="28"/>
        </w:rPr>
        <w:t xml:space="preserve"> низкий</w:t>
      </w:r>
      <w:r w:rsidR="00377D3B" w:rsidRPr="004C29E9">
        <w:rPr>
          <w:rFonts w:ascii="Times New Roman" w:hAnsi="Times New Roman" w:cs="Times New Roman"/>
          <w:sz w:val="28"/>
          <w:szCs w:val="28"/>
        </w:rPr>
        <w:t>.</w:t>
      </w:r>
    </w:p>
    <w:p w:rsidR="00ED0AFA" w:rsidRDefault="0028451A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9E9">
        <w:rPr>
          <w:rFonts w:ascii="Times New Roman" w:hAnsi="Times New Roman" w:cs="Times New Roman"/>
          <w:sz w:val="28"/>
          <w:szCs w:val="28"/>
        </w:rPr>
        <w:t xml:space="preserve">В процессе анализа практики применения антимонопольного законодательства в сфере деятельности министерства комплаенс – риски </w:t>
      </w:r>
      <w:r w:rsidR="00FD5528">
        <w:rPr>
          <w:rFonts w:ascii="Times New Roman" w:hAnsi="Times New Roman" w:cs="Times New Roman"/>
          <w:sz w:val="28"/>
          <w:szCs w:val="28"/>
        </w:rPr>
        <w:br/>
      </w:r>
      <w:r w:rsidRPr="004C29E9">
        <w:rPr>
          <w:rFonts w:ascii="Times New Roman" w:hAnsi="Times New Roman" w:cs="Times New Roman"/>
          <w:sz w:val="28"/>
          <w:szCs w:val="28"/>
        </w:rPr>
        <w:t>не выявлены.</w:t>
      </w:r>
    </w:p>
    <w:p w:rsidR="00B12725" w:rsidRPr="004C29E9" w:rsidRDefault="00B12725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187" w:rsidRPr="004C29E9" w:rsidRDefault="0028451A" w:rsidP="00A01EFC">
      <w:pPr>
        <w:widowControl w:val="0"/>
        <w:contextualSpacing/>
        <w:jc w:val="center"/>
        <w:rPr>
          <w:b/>
        </w:rPr>
      </w:pPr>
      <w:r w:rsidRPr="004C29E9">
        <w:rPr>
          <w:b/>
        </w:rPr>
        <w:t>I</w:t>
      </w:r>
      <w:r w:rsidR="00BD2A32" w:rsidRPr="004C29E9">
        <w:rPr>
          <w:b/>
        </w:rPr>
        <w:t>I</w:t>
      </w:r>
      <w:r w:rsidRPr="004C29E9">
        <w:rPr>
          <w:b/>
        </w:rPr>
        <w:t xml:space="preserve">I. Сведения об исполнении мероприятий по снижению рисков </w:t>
      </w:r>
    </w:p>
    <w:p w:rsidR="0028451A" w:rsidRPr="004C29E9" w:rsidRDefault="0028451A" w:rsidP="00A01EFC">
      <w:pPr>
        <w:widowControl w:val="0"/>
        <w:contextualSpacing/>
        <w:jc w:val="center"/>
        <w:rPr>
          <w:b/>
        </w:rPr>
      </w:pPr>
      <w:r w:rsidRPr="004C29E9">
        <w:rPr>
          <w:b/>
        </w:rPr>
        <w:t xml:space="preserve">нарушения </w:t>
      </w:r>
      <w:r w:rsidR="00020187" w:rsidRPr="004C29E9">
        <w:rPr>
          <w:b/>
        </w:rPr>
        <w:t xml:space="preserve">министерством </w:t>
      </w:r>
      <w:r w:rsidRPr="004C29E9">
        <w:rPr>
          <w:b/>
        </w:rPr>
        <w:t>антимонопольного законодательства</w:t>
      </w:r>
    </w:p>
    <w:p w:rsidR="00E6630D" w:rsidRPr="00E6630D" w:rsidRDefault="00E6630D" w:rsidP="00A01EFC">
      <w:pPr>
        <w:pStyle w:val="aa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30D">
        <w:rPr>
          <w:rFonts w:ascii="Times New Roman" w:hAnsi="Times New Roman" w:cs="Times New Roman"/>
          <w:sz w:val="28"/>
          <w:szCs w:val="28"/>
        </w:rPr>
        <w:t>В связи с тем, что комплаенс-риски министерства в отчетном периоде не выявлены, проведение мероприятий по их снижению не требуется.</w:t>
      </w:r>
    </w:p>
    <w:p w:rsidR="005E186E" w:rsidRPr="004C29E9" w:rsidRDefault="005E186E" w:rsidP="00A01EFC">
      <w:pPr>
        <w:widowControl w:val="0"/>
        <w:ind w:firstLine="709"/>
        <w:contextualSpacing/>
        <w:jc w:val="both"/>
      </w:pPr>
    </w:p>
    <w:p w:rsidR="008A4662" w:rsidRPr="004C29E9" w:rsidRDefault="00B71DCD" w:rsidP="00A01EFC">
      <w:pPr>
        <w:widowControl w:val="0"/>
        <w:ind w:firstLine="709"/>
        <w:contextualSpacing/>
        <w:jc w:val="center"/>
        <w:rPr>
          <w:b/>
        </w:rPr>
      </w:pPr>
      <w:r w:rsidRPr="004C29E9">
        <w:rPr>
          <w:b/>
        </w:rPr>
        <w:lastRenderedPageBreak/>
        <w:t>I</w:t>
      </w:r>
      <w:r w:rsidR="00BD2A32" w:rsidRPr="004C29E9">
        <w:rPr>
          <w:b/>
          <w:lang w:val="en-US"/>
        </w:rPr>
        <w:t>V</w:t>
      </w:r>
      <w:r w:rsidRPr="004C29E9">
        <w:rPr>
          <w:b/>
        </w:rPr>
        <w:t xml:space="preserve">. </w:t>
      </w:r>
      <w:r w:rsidR="0097365D" w:rsidRPr="004C29E9">
        <w:rPr>
          <w:b/>
        </w:rPr>
        <w:t>О достижении ключевых показателей эффективности антимонопольного комплаенса</w:t>
      </w:r>
    </w:p>
    <w:p w:rsidR="00B71DCD" w:rsidRPr="004C29E9" w:rsidRDefault="006A2C48" w:rsidP="00A01EFC">
      <w:pPr>
        <w:widowControl w:val="0"/>
        <w:ind w:firstLine="709"/>
        <w:contextualSpacing/>
        <w:jc w:val="both"/>
      </w:pPr>
      <w:r w:rsidRPr="004C29E9">
        <w:t xml:space="preserve">Методика расчета ключевых показателей эффективности функционирования в министерстве экономического развития и инвестиций Нижегородской области антимонопольного комплаенса (далее – Методика) утверждена приказом министерства экономического развития и инвестиций Нижегородской области </w:t>
      </w:r>
      <w:r w:rsidR="007738E3">
        <w:t xml:space="preserve">                </w:t>
      </w:r>
      <w:r w:rsidRPr="004C29E9">
        <w:t>от 15 апреля 2019 г. № 45.</w:t>
      </w:r>
    </w:p>
    <w:p w:rsidR="006A2C48" w:rsidRPr="004C29E9" w:rsidRDefault="006A2C48" w:rsidP="00A01EFC">
      <w:pPr>
        <w:widowControl w:val="0"/>
        <w:ind w:firstLine="709"/>
        <w:contextualSpacing/>
        <w:jc w:val="both"/>
      </w:pPr>
      <w:r w:rsidRPr="004C29E9">
        <w:t>В целях оценки эффективности функционирования в министерстве антимонопольного комплаенса в соответствии с Методикой рассчитываются ключевые показатели эффективности антимонопольного комплаенса как для уполномоченного подразделения, так и для министерства в целом.</w:t>
      </w:r>
    </w:p>
    <w:p w:rsidR="006A2C48" w:rsidRPr="004C29E9" w:rsidRDefault="006A2C48" w:rsidP="00A01EFC">
      <w:pPr>
        <w:widowControl w:val="0"/>
        <w:ind w:firstLine="709"/>
        <w:contextualSpacing/>
        <w:jc w:val="both"/>
      </w:pPr>
      <w:r w:rsidRPr="004C29E9">
        <w:t>Ключевыми показателями эффективности антимонопольного комплаенса для министерства в целом являются:</w:t>
      </w:r>
    </w:p>
    <w:p w:rsidR="006A2C48" w:rsidRPr="004C29E9" w:rsidRDefault="006A2C48" w:rsidP="00A01EFC">
      <w:pPr>
        <w:widowControl w:val="0"/>
        <w:ind w:firstLine="709"/>
        <w:contextualSpacing/>
        <w:jc w:val="both"/>
      </w:pPr>
      <w:r w:rsidRPr="004C29E9">
        <w:t>а) коэффициент снижения количества нарушений антимонопольного законодательства со стороны министерства (по сравнению с 20</w:t>
      </w:r>
      <w:r w:rsidR="00B12725">
        <w:t>2</w:t>
      </w:r>
      <w:r w:rsidR="00B2021B">
        <w:t>4</w:t>
      </w:r>
      <w:r w:rsidR="00B12725">
        <w:t xml:space="preserve"> годом);</w:t>
      </w:r>
    </w:p>
    <w:p w:rsidR="006A2C48" w:rsidRPr="004C29E9" w:rsidRDefault="006A2C48" w:rsidP="00A01EFC">
      <w:pPr>
        <w:widowControl w:val="0"/>
        <w:ind w:firstLine="709"/>
        <w:contextualSpacing/>
        <w:jc w:val="both"/>
      </w:pPr>
      <w:r w:rsidRPr="004C29E9">
        <w:t>б) доля проектов нормативных правовых актов министерства, в которых выявлены риски нарушения антимонопольного законодательства;</w:t>
      </w:r>
    </w:p>
    <w:p w:rsidR="006A2C48" w:rsidRPr="004C29E9" w:rsidRDefault="006A2C48" w:rsidP="00A01EFC">
      <w:pPr>
        <w:widowControl w:val="0"/>
        <w:ind w:firstLine="709"/>
        <w:contextualSpacing/>
        <w:jc w:val="both"/>
      </w:pPr>
      <w:r w:rsidRPr="004C29E9">
        <w:t>в) доля нормативных правовых актов министерства, в которых выявлены риски нарушения антимонопольного законодательства.</w:t>
      </w:r>
    </w:p>
    <w:p w:rsidR="008A4662" w:rsidRPr="004C29E9" w:rsidRDefault="006B66CD" w:rsidP="00A01EFC">
      <w:pPr>
        <w:widowControl w:val="0"/>
        <w:ind w:firstLine="709"/>
        <w:contextualSpacing/>
        <w:jc w:val="both"/>
      </w:pPr>
      <w:r w:rsidRPr="004C29E9">
        <w:t>Количество нарушений антимонопольного законодательства со стороны министерства в 20</w:t>
      </w:r>
      <w:r w:rsidR="00B12725">
        <w:t>2</w:t>
      </w:r>
      <w:r w:rsidR="00B2021B">
        <w:t>4</w:t>
      </w:r>
      <w:r w:rsidRPr="004C29E9">
        <w:t xml:space="preserve"> и в 20</w:t>
      </w:r>
      <w:r w:rsidR="00F9373C">
        <w:t>2</w:t>
      </w:r>
      <w:r w:rsidR="00B2021B">
        <w:t>5</w:t>
      </w:r>
      <w:r w:rsidRPr="004C29E9">
        <w:t xml:space="preserve"> году равно нулю.</w:t>
      </w:r>
    </w:p>
    <w:p w:rsidR="006A2C48" w:rsidRPr="004C29E9" w:rsidRDefault="006B66CD" w:rsidP="00A01EFC">
      <w:pPr>
        <w:widowControl w:val="0"/>
        <w:ind w:firstLine="709"/>
        <w:contextualSpacing/>
        <w:jc w:val="both"/>
      </w:pPr>
      <w:r w:rsidRPr="004C29E9">
        <w:t>Количество проектов нормативных правовых актов министерства, в которых выявлены риски нарушения антимонопольного законодательства</w:t>
      </w:r>
      <w:r w:rsidR="00047318" w:rsidRPr="004C29E9">
        <w:t>,</w:t>
      </w:r>
      <w:r w:rsidRPr="004C29E9">
        <w:t xml:space="preserve"> равно нулю.</w:t>
      </w:r>
    </w:p>
    <w:p w:rsidR="006A2C48" w:rsidRPr="004C29E9" w:rsidRDefault="006B66CD" w:rsidP="00A01EFC">
      <w:pPr>
        <w:widowControl w:val="0"/>
        <w:ind w:firstLine="709"/>
        <w:contextualSpacing/>
        <w:jc w:val="both"/>
      </w:pPr>
      <w:r w:rsidRPr="004C29E9">
        <w:t>Количество нормативных правовых актов министерства, в которых выявлены риски нарушения антимонопольного законодательства</w:t>
      </w:r>
      <w:r w:rsidR="00047318" w:rsidRPr="004C29E9">
        <w:t>,</w:t>
      </w:r>
      <w:r w:rsidRPr="004C29E9">
        <w:t xml:space="preserve"> равно нулю.</w:t>
      </w:r>
    </w:p>
    <w:p w:rsidR="006A2C48" w:rsidRPr="004C29E9" w:rsidRDefault="006B66CD" w:rsidP="00A01EFC">
      <w:pPr>
        <w:widowControl w:val="0"/>
        <w:ind w:firstLine="709"/>
        <w:contextualSpacing/>
        <w:jc w:val="both"/>
      </w:pPr>
      <w:r w:rsidRPr="004C29E9">
        <w:t>Ключевым показателем эффективности антимонопольного комплаенса для</w:t>
      </w:r>
      <w:r w:rsidR="00F9373C">
        <w:t xml:space="preserve"> Уполномоченного подразделения </w:t>
      </w:r>
      <w:r w:rsidRPr="004C29E9">
        <w:t>является доля сотрудников министерства, в отношении которых были проведены обучающие мероприятия по антимонопольному законодательству и антимонопольному комплаенсу.</w:t>
      </w:r>
    </w:p>
    <w:p w:rsidR="0097365D" w:rsidRPr="004C29E9" w:rsidRDefault="0097365D" w:rsidP="00A01EFC">
      <w:pPr>
        <w:widowControl w:val="0"/>
        <w:ind w:firstLine="709"/>
        <w:contextualSpacing/>
        <w:jc w:val="both"/>
      </w:pPr>
      <w:r w:rsidRPr="004C29E9">
        <w:t>Все</w:t>
      </w:r>
      <w:r w:rsidR="006B66CD" w:rsidRPr="004C29E9">
        <w:t xml:space="preserve"> сотрудник</w:t>
      </w:r>
      <w:r w:rsidRPr="004C29E9">
        <w:t>и</w:t>
      </w:r>
      <w:r w:rsidR="006B66CD" w:rsidRPr="004C29E9">
        <w:t xml:space="preserve"> министерства </w:t>
      </w:r>
      <w:r w:rsidRPr="004C29E9">
        <w:t>изучили Положение об организации в министерстве экономического развития и инвестиций Нижегородской области системы внутреннего обеспечения соответствия требованиям антимонопольного законодательства (антимонопольного комплаенса).</w:t>
      </w:r>
    </w:p>
    <w:p w:rsidR="008A4662" w:rsidRPr="004C29E9" w:rsidRDefault="0097365D" w:rsidP="00A01EFC">
      <w:pPr>
        <w:widowControl w:val="0"/>
        <w:ind w:firstLine="709"/>
        <w:contextualSpacing/>
        <w:jc w:val="both"/>
      </w:pPr>
      <w:r w:rsidRPr="004C29E9">
        <w:t>Система внутреннего обеспечения соответствия требованиям антимонопольного законодательства (антимонопольный комплаенс)</w:t>
      </w:r>
      <w:r w:rsidR="00047318" w:rsidRPr="004C29E9">
        <w:t>,</w:t>
      </w:r>
      <w:r w:rsidRPr="004C29E9">
        <w:t xml:space="preserve"> введенная в министерстве в 2019 г.</w:t>
      </w:r>
      <w:r w:rsidR="00047318" w:rsidRPr="004C29E9">
        <w:t xml:space="preserve">, </w:t>
      </w:r>
      <w:r w:rsidRPr="004C29E9">
        <w:t>показала отсутствие нарушений антимонопольного законодательства и комплаенс-рисков, что</w:t>
      </w:r>
      <w:r w:rsidR="00047318" w:rsidRPr="004C29E9">
        <w:t xml:space="preserve"> обеспечено эффективной работой, </w:t>
      </w:r>
      <w:r w:rsidRPr="004C29E9">
        <w:t>направленной на предотвращение нарушений антимонопольного законодательства.</w:t>
      </w:r>
    </w:p>
    <w:p w:rsidR="00A01EFC" w:rsidRDefault="00A01EFC" w:rsidP="00B12725">
      <w:pPr>
        <w:contextualSpacing/>
        <w:jc w:val="both"/>
      </w:pPr>
    </w:p>
    <w:p w:rsidR="00A01EFC" w:rsidRDefault="00A01EFC" w:rsidP="00B12725">
      <w:pPr>
        <w:contextualSpacing/>
        <w:jc w:val="both"/>
      </w:pPr>
    </w:p>
    <w:p w:rsidR="00A01EFC" w:rsidRDefault="00A01EFC" w:rsidP="00B12725">
      <w:pPr>
        <w:contextualSpacing/>
        <w:jc w:val="both"/>
      </w:pPr>
    </w:p>
    <w:p w:rsidR="008A4662" w:rsidRPr="004C29E9" w:rsidRDefault="008A4662" w:rsidP="00B12725">
      <w:pPr>
        <w:contextualSpacing/>
        <w:jc w:val="both"/>
      </w:pPr>
      <w:r w:rsidRPr="004C29E9">
        <w:t xml:space="preserve">Министр экономического </w:t>
      </w:r>
    </w:p>
    <w:p w:rsidR="008A4662" w:rsidRPr="004C29E9" w:rsidRDefault="008A4662" w:rsidP="00B12725">
      <w:pPr>
        <w:contextualSpacing/>
        <w:jc w:val="both"/>
      </w:pPr>
      <w:r w:rsidRPr="004C29E9">
        <w:t xml:space="preserve">развития и инвестиций </w:t>
      </w:r>
    </w:p>
    <w:p w:rsidR="008A4662" w:rsidRPr="00786A49" w:rsidRDefault="008A4662" w:rsidP="00B12725">
      <w:pPr>
        <w:contextualSpacing/>
        <w:jc w:val="both"/>
      </w:pPr>
      <w:r w:rsidRPr="004C29E9">
        <w:t>Нижегородской области</w:t>
      </w:r>
      <w:r w:rsidRPr="004C29E9">
        <w:tab/>
      </w:r>
      <w:r w:rsidRPr="004C29E9">
        <w:tab/>
      </w:r>
      <w:r w:rsidRPr="004C29E9">
        <w:tab/>
      </w:r>
      <w:r w:rsidRPr="004C29E9">
        <w:tab/>
      </w:r>
      <w:r w:rsidRPr="004C29E9">
        <w:tab/>
      </w:r>
      <w:r w:rsidRPr="004C29E9">
        <w:tab/>
      </w:r>
      <w:r w:rsidRPr="004C29E9">
        <w:tab/>
      </w:r>
      <w:r w:rsidR="006A2C48" w:rsidRPr="004C29E9">
        <w:t xml:space="preserve">        </w:t>
      </w:r>
      <w:proofErr w:type="spellStart"/>
      <w:r w:rsidR="00B12725">
        <w:t>Д.Г.Исмагилов</w:t>
      </w:r>
      <w:proofErr w:type="spellEnd"/>
    </w:p>
    <w:sectPr w:rsidR="008A4662" w:rsidRPr="00786A49" w:rsidSect="00785DCF">
      <w:headerReference w:type="default" r:id="rId8"/>
      <w:pgSz w:w="11905" w:h="16838"/>
      <w:pgMar w:top="824" w:right="567" w:bottom="1134" w:left="1134" w:header="568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191C" w:rsidRDefault="008F191C" w:rsidP="008A4662">
      <w:r>
        <w:separator/>
      </w:r>
    </w:p>
  </w:endnote>
  <w:endnote w:type="continuationSeparator" w:id="0">
    <w:p w:rsidR="008F191C" w:rsidRDefault="008F191C" w:rsidP="008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191C" w:rsidRDefault="008F191C" w:rsidP="008A4662">
      <w:r>
        <w:separator/>
      </w:r>
    </w:p>
  </w:footnote>
  <w:footnote w:type="continuationSeparator" w:id="0">
    <w:p w:rsidR="008F191C" w:rsidRDefault="008F191C" w:rsidP="008A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4416145"/>
      <w:docPartObj>
        <w:docPartGallery w:val="Page Numbers (Top of Page)"/>
        <w:docPartUnique/>
      </w:docPartObj>
    </w:sdtPr>
    <w:sdtEndPr/>
    <w:sdtContent>
      <w:p w:rsidR="00CE0F23" w:rsidRDefault="00CE0F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D57">
          <w:rPr>
            <w:noProof/>
          </w:rPr>
          <w:t>2</w:t>
        </w:r>
        <w:r>
          <w:fldChar w:fldCharType="end"/>
        </w:r>
      </w:p>
    </w:sdtContent>
  </w:sdt>
  <w:p w:rsidR="00CE0F23" w:rsidRDefault="00CE0F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A59AA"/>
    <w:multiLevelType w:val="hybridMultilevel"/>
    <w:tmpl w:val="229C3CC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7"/>
    <w:rsid w:val="000120BB"/>
    <w:rsid w:val="00020187"/>
    <w:rsid w:val="000469A3"/>
    <w:rsid w:val="00047318"/>
    <w:rsid w:val="00076F29"/>
    <w:rsid w:val="000A0DB6"/>
    <w:rsid w:val="000C69CC"/>
    <w:rsid w:val="000E0141"/>
    <w:rsid w:val="000F7D9E"/>
    <w:rsid w:val="00124065"/>
    <w:rsid w:val="0012609E"/>
    <w:rsid w:val="001457F4"/>
    <w:rsid w:val="001B01AB"/>
    <w:rsid w:val="001B0A1F"/>
    <w:rsid w:val="001B4F56"/>
    <w:rsid w:val="001E2996"/>
    <w:rsid w:val="0028451A"/>
    <w:rsid w:val="002A12F7"/>
    <w:rsid w:val="00377D3B"/>
    <w:rsid w:val="003901DE"/>
    <w:rsid w:val="003C2772"/>
    <w:rsid w:val="003D69AD"/>
    <w:rsid w:val="003E2F07"/>
    <w:rsid w:val="004004FE"/>
    <w:rsid w:val="00420FD5"/>
    <w:rsid w:val="0043257D"/>
    <w:rsid w:val="00436847"/>
    <w:rsid w:val="004517B5"/>
    <w:rsid w:val="00474932"/>
    <w:rsid w:val="004A7D92"/>
    <w:rsid w:val="004B1FA0"/>
    <w:rsid w:val="004C29E9"/>
    <w:rsid w:val="004F61E0"/>
    <w:rsid w:val="00541F4B"/>
    <w:rsid w:val="00595795"/>
    <w:rsid w:val="005A70D1"/>
    <w:rsid w:val="005B20A7"/>
    <w:rsid w:val="005B5479"/>
    <w:rsid w:val="005B66F4"/>
    <w:rsid w:val="005E186E"/>
    <w:rsid w:val="00603F27"/>
    <w:rsid w:val="00670229"/>
    <w:rsid w:val="00693E2C"/>
    <w:rsid w:val="006A2C48"/>
    <w:rsid w:val="006B66CD"/>
    <w:rsid w:val="006B7DA0"/>
    <w:rsid w:val="006E68BC"/>
    <w:rsid w:val="00700416"/>
    <w:rsid w:val="0072283D"/>
    <w:rsid w:val="0073180C"/>
    <w:rsid w:val="00747DF8"/>
    <w:rsid w:val="00756EDD"/>
    <w:rsid w:val="00761AFF"/>
    <w:rsid w:val="007738E3"/>
    <w:rsid w:val="00781671"/>
    <w:rsid w:val="00785DCF"/>
    <w:rsid w:val="00786A49"/>
    <w:rsid w:val="007A3100"/>
    <w:rsid w:val="007B3B80"/>
    <w:rsid w:val="007C300F"/>
    <w:rsid w:val="00844197"/>
    <w:rsid w:val="00851873"/>
    <w:rsid w:val="0086602B"/>
    <w:rsid w:val="00887DB2"/>
    <w:rsid w:val="008A4662"/>
    <w:rsid w:val="008C6B92"/>
    <w:rsid w:val="008D5BAD"/>
    <w:rsid w:val="008F191C"/>
    <w:rsid w:val="0094116E"/>
    <w:rsid w:val="0097365D"/>
    <w:rsid w:val="009A1622"/>
    <w:rsid w:val="00A01EFC"/>
    <w:rsid w:val="00A17ACA"/>
    <w:rsid w:val="00A8123D"/>
    <w:rsid w:val="00AD2044"/>
    <w:rsid w:val="00AE11F9"/>
    <w:rsid w:val="00B12725"/>
    <w:rsid w:val="00B1707B"/>
    <w:rsid w:val="00B2021B"/>
    <w:rsid w:val="00B24DEC"/>
    <w:rsid w:val="00B30D47"/>
    <w:rsid w:val="00B333C9"/>
    <w:rsid w:val="00B71DCD"/>
    <w:rsid w:val="00BB14A6"/>
    <w:rsid w:val="00BB31A7"/>
    <w:rsid w:val="00BB3493"/>
    <w:rsid w:val="00BC708E"/>
    <w:rsid w:val="00BD2A32"/>
    <w:rsid w:val="00BF5216"/>
    <w:rsid w:val="00C72E2B"/>
    <w:rsid w:val="00C77AAC"/>
    <w:rsid w:val="00C92753"/>
    <w:rsid w:val="00CB7E0A"/>
    <w:rsid w:val="00CC2D57"/>
    <w:rsid w:val="00CE0F23"/>
    <w:rsid w:val="00D507CC"/>
    <w:rsid w:val="00D86BC6"/>
    <w:rsid w:val="00D933B1"/>
    <w:rsid w:val="00E56808"/>
    <w:rsid w:val="00E6630D"/>
    <w:rsid w:val="00E718C4"/>
    <w:rsid w:val="00E965B6"/>
    <w:rsid w:val="00EC5765"/>
    <w:rsid w:val="00EC7B20"/>
    <w:rsid w:val="00ED0AFA"/>
    <w:rsid w:val="00EF23D8"/>
    <w:rsid w:val="00EF40A3"/>
    <w:rsid w:val="00F01C98"/>
    <w:rsid w:val="00F07E2F"/>
    <w:rsid w:val="00F32AAA"/>
    <w:rsid w:val="00F52F01"/>
    <w:rsid w:val="00F871B0"/>
    <w:rsid w:val="00F9373C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701D0-50AB-461E-A72D-50789A93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A46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8A4662"/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4662"/>
    <w:rPr>
      <w:rFonts w:asciiTheme="minorHAnsi" w:hAnsiTheme="minorHAnsi" w:cstheme="minorBid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A466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E0F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0F23"/>
  </w:style>
  <w:style w:type="paragraph" w:styleId="a8">
    <w:name w:val="footer"/>
    <w:basedOn w:val="a"/>
    <w:link w:val="a9"/>
    <w:uiPriority w:val="99"/>
    <w:unhideWhenUsed/>
    <w:rsid w:val="00CE0F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0F23"/>
  </w:style>
  <w:style w:type="paragraph" w:styleId="aa">
    <w:name w:val="No Spacing"/>
    <w:uiPriority w:val="1"/>
    <w:qFormat/>
    <w:rsid w:val="0086602B"/>
    <w:rPr>
      <w:rFonts w:asciiTheme="minorHAnsi" w:hAnsiTheme="minorHAnsi" w:cstheme="minorBidi"/>
      <w:sz w:val="22"/>
      <w:szCs w:val="22"/>
    </w:rPr>
  </w:style>
  <w:style w:type="character" w:styleId="ab">
    <w:name w:val="Hyperlink"/>
    <w:basedOn w:val="a0"/>
    <w:uiPriority w:val="99"/>
    <w:unhideWhenUsed/>
    <w:rsid w:val="00BF521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6630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6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8B36-A2F4-4F0F-B261-721F41DD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Нартымов</dc:creator>
  <cp:lastModifiedBy>Анна В. Рябинина</cp:lastModifiedBy>
  <cp:revision>2</cp:revision>
  <cp:lastPrinted>2021-01-26T08:06:00Z</cp:lastPrinted>
  <dcterms:created xsi:type="dcterms:W3CDTF">2026-02-16T08:23:00Z</dcterms:created>
  <dcterms:modified xsi:type="dcterms:W3CDTF">2026-02-16T08:23:00Z</dcterms:modified>
</cp:coreProperties>
</file>